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374D" w:rsidRDefault="001F374D" w14:paraId="0B85CFD3" w14:textId="77777777"/>
    <w:p w:rsidR="001F374D" w:rsidRDefault="001F374D" w14:paraId="27829803" w14:textId="77777777"/>
    <w:p w:rsidRPr="009C4C3A" w:rsidR="009C4C3A" w:rsidP="009C4C3A" w:rsidRDefault="00543186" w14:paraId="2C1707BC" w14:textId="10654945">
      <w:pPr>
        <w:spacing w:before="100" w:beforeAutospacing="1" w:after="100" w:afterAutospacing="1" w:line="276" w:lineRule="auto"/>
        <w:contextualSpacing/>
        <w:rPr>
          <w:rFonts w:ascii="PalatinoLinotype" w:hAnsi="PalatinoLinotype" w:cs="PalatinoLinotype" w:eastAsiaTheme="minorHAnsi"/>
          <w:b/>
          <w:sz w:val="28"/>
          <w:szCs w:val="28"/>
          <w:lang w:eastAsia="en-US"/>
        </w:rPr>
      </w:pPr>
      <w:r>
        <w:rPr>
          <w:rFonts w:ascii="PalatinoLinotype" w:hAnsi="PalatinoLinotype" w:cs="PalatinoLinotype" w:eastAsiaTheme="minorHAnsi"/>
          <w:b/>
          <w:sz w:val="28"/>
          <w:szCs w:val="28"/>
          <w:lang w:eastAsia="en-US"/>
        </w:rPr>
        <w:t>Registrierkasse - Abschlüsse</w:t>
      </w:r>
    </w:p>
    <w:p w:rsidRPr="009C4C3A" w:rsidR="009C4C3A" w:rsidP="00543186" w:rsidRDefault="009C4C3A" w14:paraId="0A907A96" w14:textId="77777777">
      <w:pPr>
        <w:spacing w:before="100" w:beforeAutospacing="1" w:after="100" w:afterAutospacing="1" w:line="276" w:lineRule="auto"/>
        <w:contextualSpacing/>
        <w:jc w:val="both"/>
        <w:rPr>
          <w:rFonts w:ascii="PalatinoLinotype" w:hAnsi="PalatinoLinotype" w:cs="PalatinoLinotype" w:eastAsiaTheme="minorHAnsi"/>
          <w:sz w:val="24"/>
          <w:szCs w:val="24"/>
          <w:lang w:eastAsia="en-US"/>
        </w:rPr>
      </w:pPr>
    </w:p>
    <w:p w:rsidRPr="00543186" w:rsidR="00543186" w:rsidP="00543186" w:rsidRDefault="00543186" w14:paraId="5D45E45E" w14:textId="77777777">
      <w:pPr>
        <w:spacing w:before="100" w:beforeAutospacing="1" w:after="100" w:afterAutospacing="1" w:line="276" w:lineRule="auto"/>
        <w:contextualSpacing/>
        <w:jc w:val="both"/>
        <w:rPr>
          <w:rFonts w:ascii="PalatinoLinotype" w:hAnsi="PalatinoLinotype" w:cs="PalatinoLinotype" w:eastAsiaTheme="minorHAnsi"/>
          <w:sz w:val="24"/>
          <w:szCs w:val="24"/>
          <w:lang w:eastAsia="en-US"/>
        </w:rPr>
      </w:pPr>
      <w:r w:rsidRPr="00543186">
        <w:rPr>
          <w:rFonts w:ascii="PalatinoLinotype" w:hAnsi="PalatinoLinotype" w:cs="PalatinoLinotype" w:eastAsiaTheme="minorHAnsi"/>
          <w:sz w:val="24"/>
          <w:szCs w:val="24"/>
          <w:lang w:eastAsia="en-US"/>
        </w:rPr>
        <w:t>Tagesabschluss</w:t>
      </w:r>
    </w:p>
    <w:p w:rsidRPr="00543186" w:rsidR="00543186" w:rsidP="00543186" w:rsidRDefault="00543186" w14:paraId="5D56E242"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543186">
        <w:rPr>
          <w:rFonts w:ascii="PalatinoLinotype" w:hAnsi="PalatinoLinotype" w:eastAsia="Calibri" w:cs="PalatinoLinotype"/>
          <w:sz w:val="18"/>
          <w:szCs w:val="18"/>
          <w:lang w:eastAsia="en-US"/>
        </w:rPr>
        <w:t>Die (immer noch geltende) Kassenrichtlinie sieht einen täglichen Tagesabschluss vor. Sobald die Kasse die Registrierkassensicherheitsverordnung (ab 1.4.2017) umsetzt, erfüllt sie automatisch auch die Kassenrichtlinie. Unabhängig davon ist ein Tagesabschluss notwendig, um täglich den Kassenstand kontrollieren zu können.</w:t>
      </w:r>
    </w:p>
    <w:p w:rsidRPr="00543186" w:rsidR="00543186" w:rsidP="00543186" w:rsidRDefault="00543186" w14:paraId="6932DE55"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p>
    <w:p w:rsidRPr="00543186" w:rsidR="00543186" w:rsidP="00543186" w:rsidRDefault="00543186" w14:paraId="5F885358"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543186">
        <w:rPr>
          <w:rFonts w:ascii="PalatinoLinotype" w:hAnsi="PalatinoLinotype" w:eastAsia="Calibri" w:cs="PalatinoLinotype"/>
          <w:sz w:val="18"/>
          <w:szCs w:val="18"/>
          <w:lang w:eastAsia="en-US"/>
        </w:rPr>
        <w:t xml:space="preserve">Anmerkung: Falls Sie vergessen haben, den Tagesabschluss zu drucken, haben Sie die </w:t>
      </w:r>
      <w:proofErr w:type="gramStart"/>
      <w:r w:rsidRPr="00543186">
        <w:rPr>
          <w:rFonts w:ascii="PalatinoLinotype" w:hAnsi="PalatinoLinotype" w:eastAsia="Calibri" w:cs="PalatinoLinotype"/>
          <w:sz w:val="18"/>
          <w:szCs w:val="18"/>
          <w:lang w:eastAsia="en-US"/>
        </w:rPr>
        <w:t>Möglichkeit  diesen</w:t>
      </w:r>
      <w:proofErr w:type="gramEnd"/>
      <w:r w:rsidRPr="00543186">
        <w:rPr>
          <w:rFonts w:ascii="PalatinoLinotype" w:hAnsi="PalatinoLinotype" w:eastAsia="Calibri" w:cs="PalatinoLinotype"/>
          <w:sz w:val="18"/>
          <w:szCs w:val="18"/>
          <w:lang w:eastAsia="en-US"/>
        </w:rPr>
        <w:t xml:space="preserve"> am nächsten Tag zu drucken, da immer der Tag, der nicht gedruckt wurde, zuerst gedruckt wird.</w:t>
      </w:r>
    </w:p>
    <w:p w:rsidRPr="00543186" w:rsidR="00543186" w:rsidP="00543186" w:rsidRDefault="00543186" w14:paraId="0BF24976" w14:textId="77777777">
      <w:pPr>
        <w:spacing w:before="100" w:beforeAutospacing="1" w:after="100" w:afterAutospacing="1" w:line="276" w:lineRule="auto"/>
        <w:contextualSpacing/>
        <w:jc w:val="both"/>
        <w:rPr>
          <w:rFonts w:ascii="PalatinoLinotype" w:hAnsi="PalatinoLinotype" w:cs="PalatinoLinotype" w:eastAsiaTheme="minorHAnsi"/>
          <w:sz w:val="24"/>
          <w:szCs w:val="24"/>
          <w:lang w:eastAsia="en-US"/>
        </w:rPr>
      </w:pPr>
    </w:p>
    <w:p w:rsidRPr="00543186" w:rsidR="00543186" w:rsidP="00543186" w:rsidRDefault="00543186" w14:paraId="68F8FC52" w14:textId="77777777">
      <w:pPr>
        <w:spacing w:before="100" w:beforeAutospacing="1" w:after="100" w:afterAutospacing="1" w:line="276" w:lineRule="auto"/>
        <w:contextualSpacing/>
        <w:jc w:val="both"/>
        <w:rPr>
          <w:rFonts w:ascii="PalatinoLinotype" w:hAnsi="PalatinoLinotype" w:cs="PalatinoLinotype" w:eastAsiaTheme="minorHAnsi"/>
          <w:sz w:val="24"/>
          <w:szCs w:val="24"/>
          <w:lang w:eastAsia="en-US"/>
        </w:rPr>
      </w:pPr>
      <w:r w:rsidRPr="00543186">
        <w:rPr>
          <w:rFonts w:ascii="PalatinoLinotype" w:hAnsi="PalatinoLinotype" w:cs="PalatinoLinotype" w:eastAsiaTheme="minorHAnsi"/>
          <w:sz w:val="24"/>
          <w:szCs w:val="24"/>
          <w:lang w:eastAsia="en-US"/>
        </w:rPr>
        <w:t>Monatsabschluss</w:t>
      </w:r>
    </w:p>
    <w:p w:rsidRPr="00543186" w:rsidR="00543186" w:rsidP="00543186" w:rsidRDefault="00543186" w14:paraId="32F4C86E" w14:textId="47FD0CED">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543186">
        <w:rPr>
          <w:rFonts w:ascii="PalatinoLinotype" w:hAnsi="PalatinoLinotype" w:eastAsia="Calibri" w:cs="PalatinoLinotype"/>
          <w:sz w:val="18"/>
          <w:szCs w:val="18"/>
          <w:lang w:eastAsia="en-US"/>
        </w:rPr>
        <w:t xml:space="preserve">Start-, Monats-, Jahres- und Schlussbelege dienen als zusätzliche Sicherheiten für die Gewährleistung der vollständigen Erfassung der Umsätze in der Registrierkasse. Diese Belege müssen daher ebenfalls signiert und damit in die Belegkette eingeflochten und 7 Jahre aufbewahrt werden. Laut </w:t>
      </w:r>
      <w:r>
        <w:rPr>
          <w:rFonts w:ascii="PalatinoLinotype" w:hAnsi="PalatinoLinotype" w:eastAsia="Calibri" w:cs="PalatinoLinotype"/>
          <w:sz w:val="18"/>
          <w:szCs w:val="18"/>
          <w:lang w:eastAsia="en-US"/>
        </w:rPr>
        <w:t>Registrierkassenverordnung (</w:t>
      </w:r>
      <w:r w:rsidRPr="00543186">
        <w:rPr>
          <w:rFonts w:ascii="PalatinoLinotype" w:hAnsi="PalatinoLinotype" w:eastAsia="Calibri" w:cs="PalatinoLinotype"/>
          <w:sz w:val="18"/>
          <w:szCs w:val="18"/>
          <w:lang w:eastAsia="en-US"/>
        </w:rPr>
        <w:t>RKSV</w:t>
      </w:r>
      <w:r>
        <w:rPr>
          <w:rFonts w:ascii="PalatinoLinotype" w:hAnsi="PalatinoLinotype" w:eastAsia="Calibri" w:cs="PalatinoLinotype"/>
          <w:sz w:val="18"/>
          <w:szCs w:val="18"/>
          <w:lang w:eastAsia="en-US"/>
        </w:rPr>
        <w:t>)</w:t>
      </w:r>
      <w:r w:rsidRPr="00543186">
        <w:rPr>
          <w:rFonts w:ascii="PalatinoLinotype" w:hAnsi="PalatinoLinotype" w:eastAsia="Calibri" w:cs="PalatinoLinotype"/>
          <w:sz w:val="18"/>
          <w:szCs w:val="18"/>
          <w:lang w:eastAsia="en-US"/>
        </w:rPr>
        <w:t xml:space="preserve"> muss verpflichtend </w:t>
      </w:r>
      <w:proofErr w:type="gramStart"/>
      <w:r w:rsidRPr="00543186">
        <w:rPr>
          <w:rFonts w:ascii="PalatinoLinotype" w:hAnsi="PalatinoLinotype" w:eastAsia="Calibri" w:cs="PalatinoLinotype"/>
          <w:sz w:val="18"/>
          <w:szCs w:val="18"/>
          <w:lang w:eastAsia="en-US"/>
        </w:rPr>
        <w:t>jedes Monat</w:t>
      </w:r>
      <w:proofErr w:type="gramEnd"/>
      <w:r w:rsidRPr="00543186">
        <w:rPr>
          <w:rFonts w:ascii="PalatinoLinotype" w:hAnsi="PalatinoLinotype" w:eastAsia="Calibri" w:cs="PalatinoLinotype"/>
          <w:sz w:val="18"/>
          <w:szCs w:val="18"/>
          <w:lang w:eastAsia="en-US"/>
        </w:rPr>
        <w:t xml:space="preserve"> ein Monatsabschluss durchgeführt werden. </w:t>
      </w:r>
    </w:p>
    <w:p w:rsidRPr="00543186" w:rsidR="00543186" w:rsidP="00543186" w:rsidRDefault="00543186" w14:paraId="40C63918" w14:textId="77777777">
      <w:pPr>
        <w:spacing w:before="100" w:beforeAutospacing="1" w:after="100" w:afterAutospacing="1" w:line="276" w:lineRule="auto"/>
        <w:contextualSpacing/>
        <w:jc w:val="both"/>
        <w:rPr>
          <w:rFonts w:ascii="PalatinoLinotype" w:hAnsi="PalatinoLinotype" w:cs="PalatinoLinotype" w:eastAsiaTheme="minorHAnsi"/>
          <w:sz w:val="24"/>
          <w:szCs w:val="24"/>
          <w:lang w:eastAsia="en-US"/>
        </w:rPr>
      </w:pPr>
    </w:p>
    <w:p w:rsidRPr="00543186" w:rsidR="00543186" w:rsidP="00543186" w:rsidRDefault="00543186" w14:paraId="0F8924DD" w14:textId="77777777">
      <w:pPr>
        <w:spacing w:before="100" w:beforeAutospacing="1" w:after="100" w:afterAutospacing="1" w:line="276" w:lineRule="auto"/>
        <w:contextualSpacing/>
        <w:jc w:val="both"/>
        <w:rPr>
          <w:rFonts w:ascii="PalatinoLinotype" w:hAnsi="PalatinoLinotype" w:cs="PalatinoLinotype" w:eastAsiaTheme="minorHAnsi"/>
          <w:sz w:val="24"/>
          <w:szCs w:val="24"/>
          <w:lang w:eastAsia="en-US"/>
        </w:rPr>
      </w:pPr>
      <w:r w:rsidRPr="00543186">
        <w:rPr>
          <w:rFonts w:ascii="PalatinoLinotype" w:hAnsi="PalatinoLinotype" w:cs="PalatinoLinotype" w:eastAsiaTheme="minorHAnsi"/>
          <w:sz w:val="24"/>
          <w:szCs w:val="24"/>
          <w:lang w:eastAsia="en-US"/>
        </w:rPr>
        <w:t>Jahresabschluss</w:t>
      </w:r>
    </w:p>
    <w:p w:rsidRPr="00543186" w:rsidR="00543186" w:rsidP="3F10CB66" w:rsidRDefault="00543186" w14:paraId="1B57EF48" w14:textId="30B4ED55">
      <w:pPr>
        <w:spacing w:before="100" w:beforeAutospacing="on" w:after="100" w:afterAutospacing="on" w:line="276" w:lineRule="auto"/>
        <w:contextualSpacing/>
        <w:jc w:val="both"/>
        <w:rPr>
          <w:rFonts w:ascii="PalatinoLinotype" w:hAnsi="PalatinoLinotype" w:eastAsia="Calibri" w:cs="PalatinoLinotype"/>
          <w:sz w:val="18"/>
          <w:szCs w:val="18"/>
          <w:lang w:eastAsia="en-US"/>
        </w:rPr>
      </w:pPr>
      <w:r w:rsidRPr="3F10CB66" w:rsidR="3F10CB66">
        <w:rPr>
          <w:rFonts w:ascii="PalatinoLinotype" w:hAnsi="PalatinoLinotype" w:eastAsia="Calibri" w:cs="PalatinoLinotype"/>
          <w:sz w:val="18"/>
          <w:szCs w:val="18"/>
          <w:lang w:eastAsia="en-US"/>
        </w:rPr>
        <w:t xml:space="preserve">Mit Ablauf jedes Kalenderjahres (oder Saisonende) ist der Monatsbeleg, der den Zählerstand zum Jahresende enthält, zu erstellen (elektronisch oder in Papierform). Dieser Monatsabschluss des Dezembers stellt also gleichzeitig den Jahresbeleg dar. Dieser Beleg ist, wie Startbelege und Schlussbelege, jedenfalls zu prüfen und gemäß § 132 BAO aufzubewahren. </w:t>
      </w:r>
    </w:p>
    <w:p w:rsidR="00543186" w:rsidP="00543186" w:rsidRDefault="00543186" w14:paraId="51E5B01F"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p>
    <w:p w:rsidRPr="00543186" w:rsidR="00543186" w:rsidP="00543186" w:rsidRDefault="00543186" w14:paraId="17834B17"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543186">
        <w:rPr>
          <w:rFonts w:ascii="PalatinoLinotype" w:hAnsi="PalatinoLinotype" w:eastAsia="Calibri" w:cs="PalatinoLinotype"/>
          <w:sz w:val="18"/>
          <w:szCs w:val="18"/>
          <w:lang w:eastAsia="en-US"/>
        </w:rPr>
        <w:t xml:space="preserve">Die Prüfung des Jahresbelegs kann mittels </w:t>
      </w:r>
      <w:proofErr w:type="gramStart"/>
      <w:r w:rsidRPr="00543186">
        <w:rPr>
          <w:rFonts w:ascii="PalatinoLinotype" w:hAnsi="PalatinoLinotype" w:eastAsia="Calibri" w:cs="PalatinoLinotype"/>
          <w:sz w:val="18"/>
          <w:szCs w:val="18"/>
          <w:lang w:eastAsia="en-US"/>
        </w:rPr>
        <w:t>BMF App</w:t>
      </w:r>
      <w:proofErr w:type="gramEnd"/>
      <w:r w:rsidRPr="00543186">
        <w:rPr>
          <w:rFonts w:ascii="PalatinoLinotype" w:hAnsi="PalatinoLinotype" w:eastAsia="Calibri" w:cs="PalatinoLinotype"/>
          <w:sz w:val="18"/>
          <w:szCs w:val="18"/>
          <w:lang w:eastAsia="en-US"/>
        </w:rPr>
        <w:t xml:space="preserve"> (anhand des QR Codes am ausgedruckten Beleg) oder auch über das Webservice von </w:t>
      </w:r>
      <w:proofErr w:type="spellStart"/>
      <w:r w:rsidRPr="00543186">
        <w:rPr>
          <w:rFonts w:ascii="PalatinoLinotype" w:hAnsi="PalatinoLinotype" w:eastAsia="Calibri" w:cs="PalatinoLinotype"/>
          <w:sz w:val="18"/>
          <w:szCs w:val="18"/>
          <w:lang w:eastAsia="en-US"/>
        </w:rPr>
        <w:t>FinanzOnline</w:t>
      </w:r>
      <w:proofErr w:type="spellEnd"/>
      <w:r w:rsidRPr="00543186">
        <w:rPr>
          <w:rFonts w:ascii="PalatinoLinotype" w:hAnsi="PalatinoLinotype" w:eastAsia="Calibri" w:cs="PalatinoLinotype"/>
          <w:sz w:val="18"/>
          <w:szCs w:val="18"/>
          <w:lang w:eastAsia="en-US"/>
        </w:rPr>
        <w:t xml:space="preserve"> durchgeführt werden. Zusätzlich gibt es noch folgende weitere Möglichkeiten:</w:t>
      </w:r>
    </w:p>
    <w:p w:rsidR="00543186" w:rsidP="00543186" w:rsidRDefault="00543186" w14:paraId="1B5CA8DC" w14:textId="7C16BF45">
      <w:pPr>
        <w:numPr>
          <w:ilvl w:val="0"/>
          <w:numId w:val="3"/>
        </w:num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543186">
        <w:rPr>
          <w:rFonts w:ascii="PalatinoLinotype" w:hAnsi="PalatinoLinotype" w:eastAsia="Calibri" w:cs="PalatinoLinotype"/>
          <w:sz w:val="18"/>
          <w:szCs w:val="18"/>
          <w:lang w:eastAsia="en-US"/>
        </w:rPr>
        <w:t xml:space="preserve">Speichern des Belegs als </w:t>
      </w:r>
      <w:proofErr w:type="gramStart"/>
      <w:r w:rsidRPr="00543186">
        <w:rPr>
          <w:rFonts w:ascii="PalatinoLinotype" w:hAnsi="PalatinoLinotype" w:eastAsia="Calibri" w:cs="PalatinoLinotype"/>
          <w:sz w:val="18"/>
          <w:szCs w:val="18"/>
          <w:lang w:eastAsia="en-US"/>
        </w:rPr>
        <w:t>XML</w:t>
      </w:r>
      <w:r>
        <w:rPr>
          <w:rFonts w:ascii="PalatinoLinotype" w:hAnsi="PalatinoLinotype" w:eastAsia="Calibri" w:cs="PalatinoLinotype"/>
          <w:sz w:val="18"/>
          <w:szCs w:val="18"/>
          <w:lang w:eastAsia="en-US"/>
        </w:rPr>
        <w:t xml:space="preserve"> Datei</w:t>
      </w:r>
      <w:proofErr w:type="gramEnd"/>
      <w:r>
        <w:rPr>
          <w:rFonts w:ascii="PalatinoLinotype" w:hAnsi="PalatinoLinotype" w:eastAsia="Calibri" w:cs="PalatinoLinotype"/>
          <w:sz w:val="18"/>
          <w:szCs w:val="18"/>
          <w:lang w:eastAsia="en-US"/>
        </w:rPr>
        <w:t xml:space="preserve"> und Versenden per E-Mail</w:t>
      </w:r>
    </w:p>
    <w:p w:rsidR="00543186" w:rsidP="3F10CB66" w:rsidRDefault="00543186" w14:paraId="30F9DA29" w14:textId="49663558">
      <w:pPr>
        <w:numPr>
          <w:ilvl w:val="0"/>
          <w:numId w:val="3"/>
        </w:numPr>
        <w:spacing w:before="100" w:beforeAutospacing="on" w:after="100" w:afterAutospacing="on" w:line="276" w:lineRule="auto"/>
        <w:contextualSpacing/>
        <w:jc w:val="both"/>
        <w:rPr>
          <w:rFonts w:ascii="PalatinoLinotype" w:hAnsi="PalatinoLinotype" w:eastAsia="Calibri" w:cs="PalatinoLinotype"/>
          <w:sz w:val="18"/>
          <w:szCs w:val="18"/>
          <w:lang w:eastAsia="en-US"/>
        </w:rPr>
      </w:pPr>
      <w:r w:rsidRPr="3F10CB66" w:rsidR="3F10CB66">
        <w:rPr>
          <w:rFonts w:ascii="PalatinoLinotype" w:hAnsi="PalatinoLinotype" w:eastAsia="Calibri" w:cs="PalatinoLinotype"/>
          <w:sz w:val="18"/>
          <w:szCs w:val="18"/>
          <w:lang w:eastAsia="en-US"/>
        </w:rPr>
        <w:t>Ausdruck des FON-RK1 Formulars und persönliche Abgabe inkl. Beleg beim zuständigen Finanzamt, wenn kein Internetzugang, kein Smartphone sowie keine Bevollmächtigung eines Steuerberater vorliegt.</w:t>
      </w:r>
    </w:p>
    <w:p w:rsidRPr="00543186" w:rsidR="00543186" w:rsidP="00543186" w:rsidRDefault="00543186" w14:paraId="4181FC46" w14:textId="77777777">
      <w:pPr>
        <w:spacing w:before="100" w:beforeAutospacing="1" w:after="100" w:afterAutospacing="1" w:line="276" w:lineRule="auto"/>
        <w:ind w:left="720"/>
        <w:contextualSpacing/>
        <w:jc w:val="both"/>
        <w:rPr>
          <w:rFonts w:ascii="PalatinoLinotype" w:hAnsi="PalatinoLinotype" w:eastAsia="Calibri" w:cs="PalatinoLinotype"/>
          <w:sz w:val="18"/>
          <w:szCs w:val="18"/>
          <w:lang w:eastAsia="en-US"/>
        </w:rPr>
      </w:pPr>
    </w:p>
    <w:p w:rsidR="00543186" w:rsidP="00543186" w:rsidRDefault="00543186" w14:paraId="52BC0FA6"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r w:rsidRPr="00543186">
        <w:rPr>
          <w:rFonts w:ascii="PalatinoLinotype" w:hAnsi="PalatinoLinotype" w:eastAsia="Calibri" w:cs="PalatinoLinotype"/>
          <w:sz w:val="18"/>
          <w:szCs w:val="18"/>
          <w:lang w:eastAsia="en-US"/>
        </w:rPr>
        <w:t>Die Prüfung muss dabei spätestens bis zum 15. Februar des Folgejahres durchgeführt werden.</w:t>
      </w:r>
    </w:p>
    <w:p w:rsidR="00543186" w:rsidP="00543186" w:rsidRDefault="00543186" w14:paraId="1156DC83" w14:textId="77777777">
      <w:pPr>
        <w:spacing w:before="100" w:beforeAutospacing="1" w:after="100" w:afterAutospacing="1" w:line="276" w:lineRule="auto"/>
        <w:contextualSpacing/>
        <w:jc w:val="both"/>
        <w:rPr>
          <w:rFonts w:ascii="PalatinoLinotype" w:hAnsi="PalatinoLinotype" w:eastAsia="Calibri" w:cs="PalatinoLinotype"/>
          <w:sz w:val="18"/>
          <w:szCs w:val="18"/>
          <w:lang w:eastAsia="en-US"/>
        </w:rPr>
      </w:pPr>
    </w:p>
    <w:p w:rsidRPr="009C4C3A" w:rsidR="00E32244" w:rsidP="009C4C3A" w:rsidRDefault="00E32244" w14:paraId="26154DEB" w14:textId="29B65751">
      <w:pPr>
        <w:rPr>
          <w:rFonts w:ascii="PalatinoLinotype" w:hAnsi="PalatinoLinotype" w:cs="PalatinoLinotype" w:eastAsiaTheme="minorHAnsi"/>
          <w:sz w:val="24"/>
          <w:szCs w:val="24"/>
          <w:lang w:eastAsia="en-US"/>
        </w:rPr>
      </w:pPr>
    </w:p>
    <w:sectPr w:rsidRPr="009C4C3A" w:rsidR="00E32244">
      <w:headerReference w:type="default" r:id="rId8"/>
      <w:pgSz w:w="11906" w:h="16838" w:orient="portrait"/>
      <w:pgMar w:top="907" w:right="707" w:bottom="90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374D" w:rsidP="001F374D" w:rsidRDefault="001F374D" w14:paraId="09B81B4A" w14:textId="77777777">
      <w:r>
        <w:separator/>
      </w:r>
    </w:p>
  </w:endnote>
  <w:endnote w:type="continuationSeparator" w:id="0">
    <w:p w:rsidR="001F374D" w:rsidP="001F374D" w:rsidRDefault="001F374D" w14:paraId="2CA1B6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374D" w:rsidP="001F374D" w:rsidRDefault="001F374D" w14:paraId="1A5AFB4E" w14:textId="77777777">
      <w:r>
        <w:separator/>
      </w:r>
    </w:p>
  </w:footnote>
  <w:footnote w:type="continuationSeparator" w:id="0">
    <w:p w:rsidR="001F374D" w:rsidP="001F374D" w:rsidRDefault="001F374D" w14:paraId="338F063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74D" w:rsidRDefault="00A82EA6" w14:paraId="44408F98" w14:textId="41F34AEA">
    <w:pPr>
      <w:pStyle w:val="Kopfzeile"/>
    </w:pPr>
    <w:r w:rsidRPr="00AE7331">
      <w:rPr>
        <w:noProof/>
      </w:rPr>
      <w:pict w14:anchorId="10A1CA8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 style="width:120pt;height:47.25pt;visibility:visible;mso-wrap-style:square" o:spid="_x0000_i1025" type="#_x0000_t75">
          <v:imagedata cropright="882f" o:title="" r:id="rId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F3D12"/>
    <w:multiLevelType w:val="multilevel"/>
    <w:tmpl w:val="4DB69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98139AF"/>
    <w:multiLevelType w:val="hybridMultilevel"/>
    <w:tmpl w:val="78CE09D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76E74559"/>
    <w:multiLevelType w:val="hybridMultilevel"/>
    <w:tmpl w:val="406E4F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737482953">
    <w:abstractNumId w:val="0"/>
  </w:num>
  <w:num w:numId="2" w16cid:durableId="1494489311">
    <w:abstractNumId w:val="2"/>
  </w:num>
  <w:num w:numId="3" w16cid:durableId="86320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F55B7"/>
    <w:rsid w:val="001F374D"/>
    <w:rsid w:val="002F55B7"/>
    <w:rsid w:val="00543186"/>
    <w:rsid w:val="009C4C3A"/>
    <w:rsid w:val="00A82EA6"/>
    <w:rsid w:val="00D52871"/>
    <w:rsid w:val="00E32244"/>
    <w:rsid w:val="3F10CB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3F2AA1C"/>
  <w15:docId w15:val="{41C9541A-5858-46F3-91E4-C52957B3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lang w:eastAsia="de-AT"/>
    </w:rPr>
  </w:style>
  <w:style w:type="paragraph" w:styleId="berschrift1">
    <w:name w:val="heading 1"/>
    <w:basedOn w:val="Standard"/>
    <w:next w:val="Standard"/>
    <w:qFormat/>
    <w:pPr>
      <w:keepNext/>
      <w:outlineLvl w:val="0"/>
    </w:pPr>
    <w:rPr>
      <w:b/>
      <w:sz w:val="24"/>
    </w:rPr>
  </w:style>
  <w:style w:type="paragraph" w:styleId="berschrift2">
    <w:name w:val="heading 2"/>
    <w:basedOn w:val="Standard"/>
    <w:next w:val="Standard"/>
    <w:qFormat/>
    <w:pPr>
      <w:keepNext/>
      <w:jc w:val="center"/>
      <w:outlineLvl w:val="1"/>
    </w:pPr>
    <w:rPr>
      <w:b/>
      <w:sz w:val="24"/>
    </w:rPr>
  </w:style>
  <w:style w:type="paragraph" w:styleId="berschrift3">
    <w:name w:val="heading 3"/>
    <w:basedOn w:val="Standard"/>
    <w:next w:val="Standard"/>
    <w:qFormat/>
    <w:pPr>
      <w:keepNext/>
      <w:jc w:val="center"/>
      <w:outlineLvl w:val="2"/>
    </w:pPr>
    <w:rPr>
      <w:b/>
      <w:sz w:val="24"/>
      <w:u w:val="wav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1F374D"/>
    <w:pPr>
      <w:tabs>
        <w:tab w:val="center" w:pos="4536"/>
        <w:tab w:val="right" w:pos="9072"/>
      </w:tabs>
    </w:pPr>
  </w:style>
  <w:style w:type="character" w:styleId="KopfzeileZchn" w:customStyle="1">
    <w:name w:val="Kopfzeile Zchn"/>
    <w:basedOn w:val="Absatz-Standardschriftart"/>
    <w:link w:val="Kopfzeile"/>
    <w:uiPriority w:val="99"/>
    <w:rsid w:val="001F374D"/>
    <w:rPr>
      <w:lang w:eastAsia="de-AT"/>
    </w:rPr>
  </w:style>
  <w:style w:type="paragraph" w:styleId="Fuzeile">
    <w:name w:val="footer"/>
    <w:basedOn w:val="Standard"/>
    <w:link w:val="FuzeileZchn"/>
    <w:uiPriority w:val="99"/>
    <w:unhideWhenUsed/>
    <w:rsid w:val="001F374D"/>
    <w:pPr>
      <w:tabs>
        <w:tab w:val="center" w:pos="4536"/>
        <w:tab w:val="right" w:pos="9072"/>
      </w:tabs>
    </w:pPr>
  </w:style>
  <w:style w:type="character" w:styleId="FuzeileZchn" w:customStyle="1">
    <w:name w:val="Fußzeile Zchn"/>
    <w:basedOn w:val="Absatz-Standardschriftart"/>
    <w:link w:val="Fuzeile"/>
    <w:uiPriority w:val="99"/>
    <w:rsid w:val="001F374D"/>
    <w:rPr>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f07b9904-eb0f-496e-81bf-300a29216992</BSO999929>
</file>

<file path=customXml/itemProps1.xml><?xml version="1.0" encoding="utf-8"?>
<ds:datastoreItem xmlns:ds="http://schemas.openxmlformats.org/officeDocument/2006/customXml" ds:itemID="{C417D3BF-2E75-48BF-96DC-520F067F9C3B}">
  <ds:schemaRefs>
    <ds:schemaRef ds:uri="http://www.datev.de/BSOffice/99992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Steuerberatungskanzlei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michlits</dc:creator>
  <lastModifiedBy>Margit Michlits</lastModifiedBy>
  <revision>7</revision>
  <lastPrinted>2001-11-06T07:30:00.0000000Z</lastPrinted>
  <dcterms:created xsi:type="dcterms:W3CDTF">2013-06-19T16:36:00.0000000Z</dcterms:created>
  <dcterms:modified xsi:type="dcterms:W3CDTF">2025-03-19T10:19:32.9496098Z</dcterms:modified>
</coreProperties>
</file>