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3737" w14:textId="77777777" w:rsidR="00CD1650" w:rsidRDefault="00000000">
      <w:r>
        <w:rPr>
          <w:b/>
          <w:sz w:val="32"/>
        </w:rPr>
        <w:t>Registrierkasse – Abschlüsse &amp; laufende Pflichten (Österreich)</w:t>
      </w:r>
    </w:p>
    <w:p w14:paraId="1BAA1538" w14:textId="275D567A" w:rsidR="00CD1650" w:rsidRDefault="00000000">
      <w:r>
        <w:t xml:space="preserve">Stand: 2026  </w:t>
      </w:r>
    </w:p>
    <w:p w14:paraId="0BBD9A43" w14:textId="2A1C7921" w:rsidR="00CD1650" w:rsidRDefault="00000000">
      <w:r>
        <w:t xml:space="preserve">Dieses </w:t>
      </w:r>
      <w:proofErr w:type="spellStart"/>
      <w:r>
        <w:t>Informationsblatt</w:t>
      </w:r>
      <w:proofErr w:type="spellEnd"/>
      <w:r>
        <w:t xml:space="preserve"> </w:t>
      </w:r>
      <w:proofErr w:type="spellStart"/>
      <w:r>
        <w:t>bietet</w:t>
      </w:r>
      <w:proofErr w:type="spellEnd"/>
      <w:r>
        <w:t xml:space="preserve"> </w:t>
      </w:r>
      <w:proofErr w:type="spellStart"/>
      <w:r>
        <w:t>einen</w:t>
      </w:r>
      <w:proofErr w:type="spellEnd"/>
      <w:r>
        <w:t xml:space="preserve"> </w:t>
      </w:r>
      <w:proofErr w:type="spellStart"/>
      <w:r>
        <w:t>praxisnahen</w:t>
      </w:r>
      <w:proofErr w:type="spellEnd"/>
      <w:r>
        <w:t xml:space="preserve"> </w:t>
      </w:r>
      <w:proofErr w:type="spellStart"/>
      <w:r>
        <w:t>Überblick</w:t>
      </w:r>
      <w:proofErr w:type="spellEnd"/>
      <w:r>
        <w:t xml:space="preserve"> </w:t>
      </w:r>
      <w:proofErr w:type="spellStart"/>
      <w:r>
        <w:t>über</w:t>
      </w:r>
      <w:proofErr w:type="spellEnd"/>
      <w:r>
        <w:t xml:space="preserve"> die </w:t>
      </w:r>
      <w:proofErr w:type="spellStart"/>
      <w:r>
        <w:t>Pflichten</w:t>
      </w:r>
      <w:proofErr w:type="spellEnd"/>
      <w:r>
        <w:t xml:space="preserve"> rund um Registrierkassen, Belegerteilung sowie die vorgeschriebenen Abschluss-/Kontrollbelege (Start-, Monats-, Jahres- und Schlussbeleg). Es ersetzt keine individuelle Steuer- oder Rechtsberatung, </w:t>
      </w:r>
      <w:proofErr w:type="spellStart"/>
      <w:r>
        <w:t>unterstützt</w:t>
      </w:r>
      <w:proofErr w:type="spellEnd"/>
      <w:r>
        <w:t xml:space="preserve"> </w:t>
      </w:r>
      <w:proofErr w:type="spellStart"/>
      <w:r>
        <w:t>aber</w:t>
      </w:r>
      <w:proofErr w:type="spellEnd"/>
      <w:r>
        <w:t xml:space="preserve"> die </w:t>
      </w:r>
      <w:proofErr w:type="spellStart"/>
      <w:r>
        <w:t>ordnungsgemäße</w:t>
      </w:r>
      <w:proofErr w:type="spellEnd"/>
      <w:r>
        <w:t xml:space="preserve"> </w:t>
      </w:r>
      <w:proofErr w:type="spellStart"/>
      <w:r>
        <w:t>Organisation</w:t>
      </w:r>
      <w:proofErr w:type="spellEnd"/>
      <w:r>
        <w:t xml:space="preserve"> </w:t>
      </w:r>
      <w:proofErr w:type="spellStart"/>
      <w:r>
        <w:t>im</w:t>
      </w:r>
      <w:proofErr w:type="spellEnd"/>
      <w:r>
        <w:t xml:space="preserve"> </w:t>
      </w:r>
      <w:proofErr w:type="spellStart"/>
      <w:r>
        <w:t>Betrieb</w:t>
      </w:r>
      <w:proofErr w:type="spellEnd"/>
      <w:r>
        <w:t>.</w:t>
      </w:r>
    </w:p>
    <w:p w14:paraId="6B1B15F3" w14:textId="77777777" w:rsidR="00CD1650" w:rsidRDefault="00000000">
      <w:proofErr w:type="spellStart"/>
      <w:r>
        <w:t>Maßgebliche</w:t>
      </w:r>
      <w:proofErr w:type="spellEnd"/>
      <w:r>
        <w:t xml:space="preserve"> Normen </w:t>
      </w:r>
      <w:proofErr w:type="spellStart"/>
      <w:r>
        <w:t>sind</w:t>
      </w:r>
      <w:proofErr w:type="spellEnd"/>
      <w:r>
        <w:t xml:space="preserve"> </w:t>
      </w:r>
      <w:proofErr w:type="spellStart"/>
      <w:r>
        <w:t>insbesondere</w:t>
      </w:r>
      <w:proofErr w:type="spellEnd"/>
      <w:r>
        <w:t>:</w:t>
      </w:r>
    </w:p>
    <w:p w14:paraId="0925F66E" w14:textId="77777777" w:rsidR="00CD1650" w:rsidRDefault="00000000">
      <w:pPr>
        <w:pStyle w:val="Aufzhlungszeichen"/>
      </w:pPr>
      <w:r>
        <w:t>Bundesabgabenordnung (BAO): § 131b (Registrierkassenpflicht), § 132a (Belegerteilungspflicht), § 132 (Aufbewahrung).</w:t>
      </w:r>
    </w:p>
    <w:p w14:paraId="106B83D9" w14:textId="77777777" w:rsidR="00CD1650" w:rsidRDefault="00000000">
      <w:pPr>
        <w:pStyle w:val="Aufzhlungszeichen"/>
      </w:pPr>
      <w:r>
        <w:t>Registrierkassensicherheitsverordnung (RKSV): u.a. § 6 (Startbeleg/Startbelegprüfung) und § 8 (Monats- und Jahresbeleg).</w:t>
      </w:r>
    </w:p>
    <w:p w14:paraId="07ADE3EB" w14:textId="77777777" w:rsidR="00CD1650" w:rsidRDefault="00000000">
      <w:pPr>
        <w:pStyle w:val="Aufzhlungszeichen"/>
      </w:pPr>
      <w:r>
        <w:t>Auslegungs-/Vollzugshilfen (je nach Aktualität): BMF-Erlass zur Einzelaufzeichnungs-, Registrierkassen- und Belegerteilungspflicht (Findok).</w:t>
      </w:r>
    </w:p>
    <w:p w14:paraId="350D57CF" w14:textId="77777777" w:rsidR="00CD1650" w:rsidRDefault="00000000">
      <w:pPr>
        <w:pStyle w:val="Aufzhlungszeichen"/>
      </w:pPr>
      <w:r>
        <w:t>Informationen der Wirtschaftskammer Österreich (WKO) zur Jahresbelegprüfung und zu organisatorischen Abläufen.</w:t>
      </w:r>
    </w:p>
    <w:p w14:paraId="639F27E7" w14:textId="6F8F8C8A" w:rsidR="00CD1650" w:rsidRDefault="00000000">
      <w:r>
        <w:t xml:space="preserve">Hinweis zur „Kassenrichtlinie 2012“: Frühere Richtlinien sind nicht als eigenständige Pflichtquelle zu verstehen; maßgeblich sind Gesetz und Verordnung. </w:t>
      </w:r>
    </w:p>
    <w:p w14:paraId="6BCAB1AA" w14:textId="77777777" w:rsidR="00CD1650" w:rsidRDefault="00000000">
      <w:pPr>
        <w:pStyle w:val="berschrift1"/>
      </w:pPr>
      <w:r>
        <w:t>1. Überblick: Wann brauche ich eine Registrierkasse?</w:t>
      </w:r>
    </w:p>
    <w:p w14:paraId="5A0EC469" w14:textId="77777777" w:rsidR="00CD1650" w:rsidRDefault="00000000">
      <w:r>
        <w:t>Betriebe haben Barumsätze grundsätzlich einzeln zu erfassen. Die Verpflichtung zur Verwendung eines elektronischen Aufzeichnungssystems (Registrierkasse/Kassensystem/sonstiges elektronisches System) besteht ab Überschreiten bestimmter Umsatzgrenzen. Als „Barumsatz“ gelten auch Zahlungen mit Bankomat-/Kreditkarte oder vergleichbaren elektronischen Zahlungsformen sowie bestimmte Gutscheine/Bons.</w:t>
      </w:r>
    </w:p>
    <w:p w14:paraId="0391E184" w14:textId="77777777" w:rsidR="00CD1650" w:rsidRDefault="00000000">
      <w:r>
        <w:t>Praxis-Hinweis: Die konkrete Beurteilung (Grenzwerte, Ausnahmen/Erleichterungen) sollte dokumentiert werden.</w:t>
      </w:r>
    </w:p>
    <w:p w14:paraId="26CD1167" w14:textId="77777777" w:rsidR="00CD1650" w:rsidRDefault="00000000">
      <w:pPr>
        <w:pStyle w:val="berschrift1"/>
      </w:pPr>
      <w:r>
        <w:t>2. Belegerteilungspflicht (bei Barzahlung)</w:t>
      </w:r>
    </w:p>
    <w:p w14:paraId="24216D31" w14:textId="77777777" w:rsidR="00CD1650" w:rsidRDefault="00000000">
      <w:r>
        <w:t>Unabhängig von der Registrierkassenpflicht besteht bei Barzahlungen eine Belegerteilungspflicht: Der Unternehmer hat dem die Barzahlung Leistenden einen Beleg über empfangene Barzahlungen zu erteilen. Ein Beleg kann auch elektronisch bereitgestellt werden, wenn er unmittelbar nach Zahlung für den Zugriff verfügbar ist.</w:t>
      </w:r>
    </w:p>
    <w:p w14:paraId="3166C34C" w14:textId="77777777" w:rsidR="00CD1650" w:rsidRDefault="00000000">
      <w:r>
        <w:t>Mindestinhalte eines Belegs (vereinfacht):</w:t>
      </w:r>
    </w:p>
    <w:p w14:paraId="4E5F13EC" w14:textId="77777777" w:rsidR="00CD1650" w:rsidRDefault="00000000">
      <w:pPr>
        <w:pStyle w:val="Aufzhlungszeichen"/>
      </w:pPr>
      <w:r>
        <w:t>Eindeutige Bezeichnung des Unternehmers (oder des Belegausstellers in Sonderfällen).</w:t>
      </w:r>
    </w:p>
    <w:p w14:paraId="308C325B" w14:textId="77777777" w:rsidR="00CD1650" w:rsidRDefault="00000000">
      <w:pPr>
        <w:pStyle w:val="Aufzhlungszeichen"/>
      </w:pPr>
      <w:r>
        <w:lastRenderedPageBreak/>
        <w:t>Fortlaufende Belegnummer zur Identifikation des Geschäftsvorfalls.</w:t>
      </w:r>
    </w:p>
    <w:p w14:paraId="0D749CF0" w14:textId="77777777" w:rsidR="00CD1650" w:rsidRDefault="00000000">
      <w:pPr>
        <w:pStyle w:val="Aufzhlungszeichen"/>
      </w:pPr>
      <w:r>
        <w:t>Tag der Belegausstellung.</w:t>
      </w:r>
    </w:p>
    <w:p w14:paraId="4DB5486D" w14:textId="77777777" w:rsidR="00CD1650" w:rsidRDefault="00000000">
      <w:pPr>
        <w:pStyle w:val="Aufzhlungszeichen"/>
      </w:pPr>
      <w:r>
        <w:t>Menge/handelsübliche Bezeichnung bzw. Art/Umfang der Leistung.</w:t>
      </w:r>
    </w:p>
    <w:p w14:paraId="3EA86201" w14:textId="77777777" w:rsidR="00CD1650" w:rsidRDefault="00000000">
      <w:pPr>
        <w:pStyle w:val="Aufzhlungszeichen"/>
      </w:pPr>
      <w:r>
        <w:t>Betrag der Barzahlung (oder rechnerisch ermittelbar).</w:t>
      </w:r>
    </w:p>
    <w:p w14:paraId="5CC4831F" w14:textId="77777777" w:rsidR="00CD1650" w:rsidRDefault="00000000">
      <w:r>
        <w:t>Bei Verwendung einer Registrierkasse mit Sicherheitseinrichtung kommen zusätzliche Angaben hinzu (insbesondere maschinenlesbarer Code/Signaturinformationen).</w:t>
      </w:r>
    </w:p>
    <w:p w14:paraId="361E9D61" w14:textId="77777777" w:rsidR="00CD1650" w:rsidRDefault="00000000">
      <w:pPr>
        <w:pStyle w:val="berschrift1"/>
      </w:pPr>
      <w:r>
        <w:t>3. Abschluss- und Kontrollbelege nach RKSV</w:t>
      </w:r>
    </w:p>
    <w:p w14:paraId="4F88603D" w14:textId="77777777" w:rsidR="00CD1650" w:rsidRDefault="00000000">
      <w:r>
        <w:t>Die RKSV kennt insbesondere folgende Belege/Belegarten im Zusammenhang mit Abschluss- und Kontrollvorgängen:</w:t>
      </w:r>
    </w:p>
    <w:p w14:paraId="3DE0E15F" w14:textId="77777777" w:rsidR="00CD1650" w:rsidRDefault="00000000">
      <w:pPr>
        <w:pStyle w:val="berschrift2"/>
      </w:pPr>
      <w:r>
        <w:t>3.1 Startbeleg (Inbetriebnahme)</w:t>
      </w:r>
    </w:p>
    <w:p w14:paraId="7732D1D9" w14:textId="77777777" w:rsidR="00CD1650" w:rsidRDefault="00000000">
      <w:r>
        <w:t>Bei Inbetriebnahme der Sicherheitseinrichtung wird das Datenerfassungsprotokoll (DEP) eingerichtet und ein erster Barumsatz mit Betrag Null (0) als Startbeleg im DEP gespeichert. Nach der Registrierung ist der Startbeleg zur Überprüfung der Signatur-/Siegel-Erstellung und der Verschlüsselung des Umsatzzählers heranzuziehen; das Prüfergebnis ist zu protokollieren und gemeinsam mit dem Startbeleg aufzubewahren.</w:t>
      </w:r>
    </w:p>
    <w:p w14:paraId="73A977F3" w14:textId="77777777" w:rsidR="00CD1650" w:rsidRDefault="00000000">
      <w:r>
        <w:t>Tipp: Startbeleg-Ausdruck/Archivierung sowie Protokoll der Startbelegprüfung in einem eigenen Ordner (Papier oder revisionssicher digital) ablegen.</w:t>
      </w:r>
    </w:p>
    <w:p w14:paraId="476BAAE0" w14:textId="77777777" w:rsidR="00CD1650" w:rsidRDefault="00000000">
      <w:pPr>
        <w:pStyle w:val="berschrift2"/>
      </w:pPr>
      <w:r>
        <w:t>3.2 Monatsbeleg (Monatsabschluss / „Nullbeleg“)</w:t>
      </w:r>
    </w:p>
    <w:p w14:paraId="0887281F" w14:textId="77777777" w:rsidR="00CD1650" w:rsidRDefault="00000000">
      <w:r>
        <w:t>Zu jedem Monatsende sind die Zwischenstände des Umsatzzählers zu ermitteln und als Barumsatz mit Betrag Null (0) mit elektronischer Signatur bzw. Siegel (Monatsbeleg) im DEP zu speichern. Je nach Kassensystem erfolgt dies automatisch (z.B. bei der ersten Buchung im Folgemonat) oder manuell über eine Funktion „Monatsbeleg/Nullbeleg“.</w:t>
      </w:r>
    </w:p>
    <w:p w14:paraId="441AF172" w14:textId="77777777" w:rsidR="00CD1650" w:rsidRDefault="00000000">
      <w:r>
        <w:t>Wichtig: Monatsbelege sind aufzubewahren (siehe Abschnitt 5 „Aufbewahrung“).</w:t>
      </w:r>
    </w:p>
    <w:p w14:paraId="58AD877E" w14:textId="77777777" w:rsidR="00CD1650" w:rsidRDefault="00000000">
      <w:pPr>
        <w:pStyle w:val="berschrift2"/>
      </w:pPr>
      <w:r>
        <w:t>3.3 Jahresbeleg (Jahresabschluss / Dezember-Monatsbeleg)</w:t>
      </w:r>
    </w:p>
    <w:p w14:paraId="1433C7E4" w14:textId="77777777" w:rsidR="00CD1650" w:rsidRDefault="00000000">
      <w:r>
        <w:t>Mit Ablauf jedes Kalenderjahres ist der Monatsbeleg, der den Zählerstand zum Jahresende enthält, als Jahresbeleg auszudrucken, zu prüfen und gemäß Aufbewahrungspflicht aufzubewahren. Die Startbeleg-Prüfregel ist sinngemäß anzuwenden. In der Regel ist der Monatsbeleg für Dezember gleichzeitig der Jahresbeleg.</w:t>
      </w:r>
    </w:p>
    <w:p w14:paraId="21882483" w14:textId="77777777" w:rsidR="00CD1650" w:rsidRDefault="00000000">
      <w:r>
        <w:t>Frist: Die Prüfung/Übermittlung des Jahresbelegs muss spätestens bis zum 15. Februar des Folgejahres erfolgen.</w:t>
      </w:r>
    </w:p>
    <w:p w14:paraId="7EED6F48" w14:textId="77777777" w:rsidR="00CD1650" w:rsidRDefault="00000000">
      <w:r>
        <w:t>Prüfmöglichkeiten (typisch):</w:t>
      </w:r>
    </w:p>
    <w:p w14:paraId="75D3181C" w14:textId="77777777" w:rsidR="00CD1650" w:rsidRDefault="00000000">
      <w:pPr>
        <w:pStyle w:val="Aufzhlungszeichen"/>
      </w:pPr>
      <w:r>
        <w:t>Prüfung per „BMF Belegcheck-App“ (QR-Code scannen) unter Verwendung eines Authentifizierungscodes aus FinanzOnline.</w:t>
      </w:r>
    </w:p>
    <w:p w14:paraId="3E50ED39" w14:textId="77777777" w:rsidR="00CD1650" w:rsidRDefault="00000000">
      <w:pPr>
        <w:pStyle w:val="Aufzhlungszeichen"/>
      </w:pPr>
      <w:r>
        <w:lastRenderedPageBreak/>
        <w:t>Automatisierte Prüfung/Übermittlung über ein FinanzOnline-Webservice (sofern im Kassensystem implementiert).</w:t>
      </w:r>
    </w:p>
    <w:p w14:paraId="41A971B5" w14:textId="77777777" w:rsidR="00CD1650" w:rsidRDefault="00000000">
      <w:pPr>
        <w:pStyle w:val="Aufzhlungszeichen"/>
      </w:pPr>
      <w:r>
        <w:t>Wenn keine technischen Möglichkeiten (kein Internetzugang/kein Smartphone) bestehen und keine steuerliche Vertretung bevollmächtigt ist: manuelle Übermittlung mit amtlichem Vordruck RK1.</w:t>
      </w:r>
    </w:p>
    <w:p w14:paraId="1C7C09F8" w14:textId="77777777" w:rsidR="00CD1650" w:rsidRDefault="00000000">
      <w:pPr>
        <w:pStyle w:val="berschrift2"/>
      </w:pPr>
      <w:r>
        <w:t>3.4 Schlussbeleg (Außerbetriebnahme)</w:t>
      </w:r>
    </w:p>
    <w:p w14:paraId="5D972112" w14:textId="77777777" w:rsidR="00CD1650" w:rsidRDefault="00000000">
      <w:r>
        <w:t>Bei Außerbetriebnahme der Registrierkasse wird ein Schlussbeleg erstellt. Wie bei Start-/Jahresbelegen sind Ausdruck, nachvollziehbare Dokumentation und Aufbewahrung sicherzustellen.</w:t>
      </w:r>
    </w:p>
    <w:p w14:paraId="6D7235B1" w14:textId="77777777" w:rsidR="00CD1650" w:rsidRDefault="00000000">
      <w:pPr>
        <w:pStyle w:val="berschrift1"/>
      </w:pPr>
      <w:r>
        <w:t>4. Tagesabschluss (Organisations- und Kontrollmaßnahme)</w:t>
      </w:r>
    </w:p>
    <w:p w14:paraId="5182B465" w14:textId="77777777" w:rsidR="00CD1650" w:rsidRDefault="00000000">
      <w:r>
        <w:t>Viele Kassensysteme bieten Tagesabschlussberichte (z.B. Z-Bon). Ein verpflichtender „Tagesabschlussbeleg“ ist nicht der Kern der RKSV-Regelung; gleichwohl ist ein täglicher Abschluss als interne Kontrolle (Kassenstand, Differenzen, Nachvollziehbarkeit) empfehlenswert. Bei Buchführungspflicht bzw. freiwilliger Buchführung sind Bareingänge und Barausgänge in Büchern bzw. Grundaufzeichnungen täglich einzeln festzuhalten.</w:t>
      </w:r>
    </w:p>
    <w:p w14:paraId="1E4F7284" w14:textId="6C4A6878" w:rsidR="00CD1650" w:rsidRDefault="00000000">
      <w:proofErr w:type="spellStart"/>
      <w:r>
        <w:t>Empfohlene</w:t>
      </w:r>
      <w:proofErr w:type="spellEnd"/>
      <w:r>
        <w:t xml:space="preserve"> </w:t>
      </w:r>
      <w:proofErr w:type="spellStart"/>
      <w:r>
        <w:t>Mindestorganisation</w:t>
      </w:r>
      <w:proofErr w:type="spellEnd"/>
      <w:r>
        <w:t>:</w:t>
      </w:r>
    </w:p>
    <w:p w14:paraId="68E8F40A" w14:textId="77777777" w:rsidR="00CD1650" w:rsidRDefault="00000000">
      <w:pPr>
        <w:pStyle w:val="Aufzhlungszeichen"/>
      </w:pPr>
      <w:r>
        <w:t>Tägliche Kassenabstimmung (Ist-Bestand vs. Soll-Bestand) dokumentieren.</w:t>
      </w:r>
    </w:p>
    <w:p w14:paraId="4BE7056A" w14:textId="77777777" w:rsidR="00CD1650" w:rsidRDefault="00000000">
      <w:pPr>
        <w:pStyle w:val="Aufzhlungszeichen"/>
      </w:pPr>
      <w:r>
        <w:t>Differenzen nachvollziehbar erklären (z.B. Wechselgeld, Entnahmen/Einlagen).</w:t>
      </w:r>
    </w:p>
    <w:p w14:paraId="78C78EEB" w14:textId="77777777" w:rsidR="00CD1650" w:rsidRDefault="00000000">
      <w:pPr>
        <w:pStyle w:val="Aufzhlungszeichen"/>
      </w:pPr>
      <w:r>
        <w:t>Zugriffs- und Berechtigungskonzept für Stornos/Preisänderungen festlegen (Vier-Augen-Prinzip, soweit möglich).</w:t>
      </w:r>
    </w:p>
    <w:p w14:paraId="3C0AEC88" w14:textId="77777777" w:rsidR="00CD1650" w:rsidRDefault="00000000">
      <w:pPr>
        <w:pStyle w:val="berschrift1"/>
      </w:pPr>
      <w:r>
        <w:t>5. Aufbewahrung &amp; Archivierung</w:t>
      </w:r>
    </w:p>
    <w:p w14:paraId="0A20FA79" w14:textId="77777777" w:rsidR="00CD1650" w:rsidRDefault="00000000">
      <w:r>
        <w:t>Bücher und Aufzeichnungen sowie die zugehörigen Belege sind grundsätzlich sieben Jahre aufzubewahren. Die Aufbewahrung kann auf Datenträgern erfolgen, wenn eine vollständige, geordnete, inhaltsgleiche und urschriftgetreue Wiedergabe bis zum Ablauf der Aufbewahrungsfrist jederzeit gewährleistet ist.</w:t>
      </w:r>
    </w:p>
    <w:p w14:paraId="2E359800" w14:textId="77777777" w:rsidR="00CD1650" w:rsidRDefault="00000000">
      <w:r>
        <w:t>Zu archivierende Unterlagen im Registrierkassen-Kontext (typisch):</w:t>
      </w:r>
    </w:p>
    <w:p w14:paraId="5914F9A3" w14:textId="77777777" w:rsidR="00CD1650" w:rsidRDefault="00000000">
      <w:pPr>
        <w:pStyle w:val="Aufzhlungszeichen"/>
      </w:pPr>
      <w:r>
        <w:t>Startbeleg + Protokoll der Startbelegprüfung</w:t>
      </w:r>
    </w:p>
    <w:p w14:paraId="14B9C08D" w14:textId="77777777" w:rsidR="00CD1650" w:rsidRDefault="00000000">
      <w:pPr>
        <w:pStyle w:val="Aufzhlungszeichen"/>
      </w:pPr>
      <w:r>
        <w:t>Monatsbelege</w:t>
      </w:r>
    </w:p>
    <w:p w14:paraId="351CAF00" w14:textId="77777777" w:rsidR="00CD1650" w:rsidRDefault="00000000">
      <w:pPr>
        <w:pStyle w:val="Aufzhlungszeichen"/>
      </w:pPr>
      <w:r>
        <w:t>Jahresbeleg + Nachweis der Prüfung/Übermittlung</w:t>
      </w:r>
    </w:p>
    <w:p w14:paraId="28725B4F" w14:textId="77777777" w:rsidR="00CD1650" w:rsidRDefault="00000000">
      <w:pPr>
        <w:pStyle w:val="Aufzhlungszeichen"/>
      </w:pPr>
      <w:r>
        <w:t>Schlussbeleg (bei Außerbetriebnahme)</w:t>
      </w:r>
    </w:p>
    <w:p w14:paraId="4625A40A" w14:textId="77777777" w:rsidR="00CD1650" w:rsidRDefault="00000000">
      <w:pPr>
        <w:pStyle w:val="Aufzhlungszeichen"/>
      </w:pPr>
      <w:r>
        <w:t>DEP-Export/Datenerfassungsprotokoll (je nach Kassensystem),</w:t>
      </w:r>
    </w:p>
    <w:p w14:paraId="2D12F245" w14:textId="77777777" w:rsidR="00CD1650" w:rsidRDefault="00000000">
      <w:pPr>
        <w:pStyle w:val="Aufzhlungszeichen"/>
      </w:pPr>
      <w:r>
        <w:t>Unterlagen zur Registrierung/Änderungen (z.B. Kassen-ID, Sicherheitseinrichtung),</w:t>
      </w:r>
    </w:p>
    <w:p w14:paraId="4AE5045A" w14:textId="77777777" w:rsidR="00CD1650" w:rsidRDefault="00000000">
      <w:pPr>
        <w:pStyle w:val="Aufzhlungszeichen"/>
      </w:pPr>
      <w:r>
        <w:t>Organisationsunterlagen (z.B. Zuständigkeiten, Kassenanweisungen) – empfohlen.</w:t>
      </w:r>
    </w:p>
    <w:p w14:paraId="3AE173F1" w14:textId="77777777" w:rsidR="00CD1650" w:rsidRDefault="00000000">
      <w:pPr>
        <w:pStyle w:val="berschrift1"/>
      </w:pPr>
      <w:r>
        <w:lastRenderedPageBreak/>
        <w:t>6. Fristen &amp; wiederkehrende Termine (Kurzüberblick)</w:t>
      </w:r>
    </w:p>
    <w:p w14:paraId="3915640A" w14:textId="77777777" w:rsidR="00CD1650" w:rsidRDefault="00000000">
      <w:pPr>
        <w:pStyle w:val="Aufzhlungszeichen"/>
      </w:pPr>
      <w:proofErr w:type="spellStart"/>
      <w:r>
        <w:t>Monatsende</w:t>
      </w:r>
      <w:proofErr w:type="spellEnd"/>
      <w:r>
        <w:t xml:space="preserve">: </w:t>
      </w:r>
      <w:proofErr w:type="spellStart"/>
      <w:r>
        <w:t>Monatsbeleg</w:t>
      </w:r>
      <w:proofErr w:type="spellEnd"/>
      <w:r>
        <w:t xml:space="preserve"> (</w:t>
      </w:r>
      <w:proofErr w:type="spellStart"/>
      <w:r>
        <w:t>Nullbeleg</w:t>
      </w:r>
      <w:proofErr w:type="spellEnd"/>
      <w:r>
        <w:t>) – Speicherung im DEP.</w:t>
      </w:r>
    </w:p>
    <w:p w14:paraId="04AB931A" w14:textId="77777777" w:rsidR="00CD1650" w:rsidRDefault="00000000">
      <w:pPr>
        <w:pStyle w:val="Aufzhlungszeichen"/>
      </w:pPr>
      <w:r>
        <w:t>Kalenderjahresende: Jahresbeleg (Monatsbeleg mit Zählerstand zum Jahresende) – Ausdruck, Prüfung, Archivierung.</w:t>
      </w:r>
    </w:p>
    <w:p w14:paraId="4536FA27" w14:textId="77777777" w:rsidR="00CD1650" w:rsidRDefault="00000000">
      <w:pPr>
        <w:pStyle w:val="Aufzhlungszeichen"/>
      </w:pPr>
      <w:r>
        <w:t>Spätestens 15. Februar des Folgejahres: Prüfung/Übermittlung des Jahresbelegs.</w:t>
      </w:r>
    </w:p>
    <w:p w14:paraId="69277C5D" w14:textId="16896750" w:rsidR="00CD1650" w:rsidRDefault="00000000">
      <w:pPr>
        <w:pStyle w:val="Aufzhlungszeichen"/>
      </w:pPr>
      <w:r>
        <w:t xml:space="preserve">Nach </w:t>
      </w:r>
      <w:proofErr w:type="spellStart"/>
      <w:r>
        <w:t>Inbetriebnahme</w:t>
      </w:r>
      <w:proofErr w:type="spellEnd"/>
      <w:r>
        <w:t xml:space="preserve">: </w:t>
      </w:r>
      <w:proofErr w:type="spellStart"/>
      <w:r>
        <w:t>Registrierung</w:t>
      </w:r>
      <w:proofErr w:type="spellEnd"/>
      <w:r>
        <w:t xml:space="preserve"> </w:t>
      </w:r>
      <w:proofErr w:type="spellStart"/>
      <w:r>
        <w:t>binnen</w:t>
      </w:r>
      <w:proofErr w:type="spellEnd"/>
      <w:r>
        <w:t xml:space="preserve"> </w:t>
      </w:r>
      <w:proofErr w:type="spellStart"/>
      <w:r>
        <w:t>einer</w:t>
      </w:r>
      <w:proofErr w:type="spellEnd"/>
      <w:r>
        <w:t xml:space="preserve"> Woche nach Inbetriebnahme; Startbelegprüfung unmittelbar nach Registrierung.</w:t>
      </w:r>
    </w:p>
    <w:p w14:paraId="29C07B99" w14:textId="77777777" w:rsidR="00CD1650" w:rsidRDefault="00000000">
      <w:pPr>
        <w:pStyle w:val="berschrift1"/>
      </w:pPr>
      <w:r>
        <w:t>7. Folgen bei Nichtbefolgung (Kurzüberblick)</w:t>
      </w:r>
    </w:p>
    <w:p w14:paraId="58526AF5" w14:textId="77777777" w:rsidR="00CD1650" w:rsidRDefault="00000000">
      <w:r>
        <w:t>Werden Registrierkassenpflicht oder technische Sicherheitseinrichtung nicht eingehalten, kann dies als Finanzordnungswidrigkeit geahndet werden. Das Unternehmensserviceportal weist darauf hin, dass dies mit Geldstrafen (bis zu 5.000 EUR) sanktioniert werden kann.</w:t>
      </w:r>
    </w:p>
    <w:sectPr w:rsidR="00CD16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22172203">
    <w:abstractNumId w:val="8"/>
  </w:num>
  <w:num w:numId="2" w16cid:durableId="496387653">
    <w:abstractNumId w:val="6"/>
  </w:num>
  <w:num w:numId="3" w16cid:durableId="293174370">
    <w:abstractNumId w:val="5"/>
  </w:num>
  <w:num w:numId="4" w16cid:durableId="1141775167">
    <w:abstractNumId w:val="4"/>
  </w:num>
  <w:num w:numId="5" w16cid:durableId="494340059">
    <w:abstractNumId w:val="7"/>
  </w:num>
  <w:num w:numId="6" w16cid:durableId="2014140045">
    <w:abstractNumId w:val="3"/>
  </w:num>
  <w:num w:numId="7" w16cid:durableId="1657490806">
    <w:abstractNumId w:val="2"/>
  </w:num>
  <w:num w:numId="8" w16cid:durableId="1537813484">
    <w:abstractNumId w:val="1"/>
  </w:num>
  <w:num w:numId="9" w16cid:durableId="120483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92C40"/>
    <w:rsid w:val="009E4745"/>
    <w:rsid w:val="00AA1D8D"/>
    <w:rsid w:val="00B47730"/>
    <w:rsid w:val="00BF3829"/>
    <w:rsid w:val="00CB0664"/>
    <w:rsid w:val="00CD1650"/>
    <w:rsid w:val="00F973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8D9B2"/>
  <w14:defaultImageDpi w14:val="300"/>
  <w15:docId w15:val="{3ECC4FE7-0B3B-4545-B210-891533EB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eastAsia="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Margit Michlits</cp:lastModifiedBy>
  <cp:revision>3</cp:revision>
  <dcterms:created xsi:type="dcterms:W3CDTF">2013-12-23T23:15:00Z</dcterms:created>
  <dcterms:modified xsi:type="dcterms:W3CDTF">2026-04-12T12:35:00Z</dcterms:modified>
  <cp:category/>
</cp:coreProperties>
</file>